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ascii="宋体" w:hAnsi="宋体" w:eastAsia="宋体" w:cs="宋体"/>
                <w:b/>
                <w:sz w:val="52"/>
              </w:rPr>
              <w:t>2022年度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淮安生物工程高等职业学校</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部门决算公开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eastAsia="黑体" w:cs="黑体"/>
        </w:rPr>
        <w:t>部门决算表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eastAsia="黑体" w:cs="黑体"/>
        </w:rPr>
        <w:t>部门决算情况说明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淮安生物工程高等职业学校（江苏联合职业技术学院淮安生物工程分院）地处全国历史文化名城、周恩来总理故乡----江苏淮安，是一所公办全日制国家级重点学校，国家职教改革发展示范学校、江苏省高水平示范职业学校、江苏省技能型紧缺人才培养培训基地、淮安市赴日本研修生派遣基地，是教育部、人事部、科技部、农业部评定的全国教育系统先进集体、全国科技特派员工作先进集体、全国农村成人教育先进学校、国家农牧渔业丰收奖获奖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学校现占地434亩，建筑面积28万平方米，在校生6980余人，编制数242人，教职工在职在编人数257人，人事代理人数58人，离退休87人。在编制预算时严格遵守预算编审管理制度，对学校的收支进行科学的分析，首先确保人员经费支出，对人员经费做到与人社部门审批一致，做好人员增减相对的经费变动，确保人员经费准确无误；其次根据学校实际支出需要，结合学生收费收入及财政补助收入的盘子，在项目支出中，先保必需项目，再有空余的情况下，对校园建设发展再做安排。在编制过程中坚持以服务为宗旨，实际为导向，尽全力做好这项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eastAsia="黑体" w:cs="黑体"/>
        </w:rPr>
        <w:t>部门</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本部门内设机构包括植物工程系、动物工程系、机电工程系、计算机工程系、经济贸易系、汽车工程系和基础课部等六系一部。本部门无下属单位。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淮安生物工程高等职业学校。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2022年在新的校领导班子领导下，我校在各个领域都取得了重大突破。在即将过去的2022年，财务处立足学校实际，统筹运作各项财力，合理安排各项支出，确保学校各项事业发展资金保障，推动学校教育事业健康持续发展。现将2022年学校财务处工作取得的成绩和存在不足总结如下：</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一、加强理论与业务学习，努力提高财务人员的政治素质和业务水平</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1.组织开展学习党章等教育活动，落实党风廉政建设，认真学习二十大精神，做到学与行、学与改有机协调，真正落到实处，并将其常态化于工作过程。</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2.全面熟悉，学习掌握相关政策文件，就各项政策性经费衔接、争取及时向主要领导及分管领导提供及时资料依据，做好沟通协调。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3．参加市财政局组织的各种专业培训和会计人员继续教育培训，均已合格，并取得相应的证书。</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二、加强内部建设，搞好外部服务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1.完善处室人员职责，理顺工作关系。分别制定了相应的个人岗位职责，既有明确分工又有相互协作，较好地履行了职责。</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2.全面强化会计基础常规工作，严格按制度办理财务收支，同时在制度范围内，以领导审核批准意见，立足以人为本，切实做到服务先行。对专业咨询提出的建议和意见及时整改。</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3.修订《淮安生物工程高等职业学校阳光采购管理（试行）办法》（淮生高行〔2022〕10号），让更多的人参与到学校采购中来，更好地服务广大师生。</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4.全力做好常规保障服务和专项服务，特别是退役士兵培训，农民、农技人员培训，科技支撑，外引科研合作、南农大、新疆班、基建工程等各专项服务工作。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三、完成“三大专项”监督及市委教育工委专项整治问题整改</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2022年5月21日，学校召开了“三大专项”监督及市委教育工委专项整治问题整改专题会议，同时，2022年5月30日召开了“三大专项”监督及市委教育工委专项整治推进会。韩校长、赵校长、王书记均对相关问题整改提出要求，涉及财务处的问题，财务处全体人员高度重视，制定措施，积极整改，在规定的时间内完成整改任务要求，同时举一反三，建章立制，巩固问题整改成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四、招投标工作按照政府采购的要求执行和学校阳光采购管理办法的相关规定有序规范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采购工作按照政府采购的要求执行和学校阳光采购管理办法的相关规定，2022年完成智慧黑板项目、广告制作招标项目、男女生宿舍装修改造、动物医院仪器设备购置、农村电商直播实战教学系统、图书馆设备购置等项目采购。</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2.配合学校采购小组组长，完成几十项采购工作。并对每一项采购工作结果都进行验收。全员参与到采购工作中来，每个参与到采购中的教职工都有很有责任感，阳光采购工作稳步推进。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五、与财政、发改、教育、税务、机关事务管理局等部门多沟通多请示汇报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1.完成2022年年决算的申报，完成2023年预算的编制，完成2022年工会决算的上报，向财政局申请，追加人员经费，追加预算项目等。按时完成财政下达的各种报表。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2．完成2021年度及以前年度农民培训资金的申报下达，并在规定时间内完成支付，完成2021年度奖补的下达与发放，完成离退休人员补助的下达与发放。2022年度的教育费附加1910万也在规定的时间内支付完毕。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2.与发改委沟通，完成2000万元专项债券的批复，2022年计划使用800万元，完成收费的备案工作。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3.与税务部门沟通，积极完成个税上报，并按新的缴税方法，完成个税的上缴等。完成2021年年终一次所得税的申报。组织全体教职员工完成2021年个人所得税汇缴退税工作。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4．完成市教育局每年一度的教育经费统计，完成省下达专项资金使用情况的统计，积极申报2023年教育费附加等。</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5．与机关事务管理局对接按时结算每个月公务卡刷卡收入，完成新进人员公务卡的办理，完成每月午餐费的统计与回拔。</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六、与其他部门积极配合协作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1.与人事部门配合，完成2022公积金、社保基数的调整，绩效、奖补等项目的发放。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2.与总务处配合，完成校内多个项目的招投标工作，进行固定资产的定期清查。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3.与学生处配合，完成走读生的退费工作，完成学生助学金、奖学金的发放等，顺利通过市教育局助学金的专项检查工作。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4.与招生办配合，完成2021年招生费用的统计，申请资金发放招生费用。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5.与成教处配合，完成退役士兵费用的发放，完成农民培训、南农大等项目经费的报销。</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七、防疫工作、文明创建工作长抓不懈</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1．防疫工作仍然是重点工作之一。根据学校要求，做好防疫的宣传工作，每日按学校要求，报送防疫有关信息统计。配合相关部门做好疫情期间防疫物资的采购等。</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2.根据学校的总体布置，做好文明创建的相关精神的传达，做好文明创建应知应会知识的准备，做好文明创建期间办公室卫生及个人卫生，持续保持文明创建的成果。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八、存在不足及下一步的努力方向</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1．部门人员在工作中有待进一步摒弃旧思维，树立新观念，探索适合学校发展新形势的理财模式，以更好地做好管理与服务工作。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2．制度建设方面尚需进一步完善和加强，进一步简化程序，以更好地适应学校新形势发展需要。</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3.加强对采购招标理论的学习，严格按照制度实施招投标。</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淮安生物工程高等职业学校</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color w:val="000000"/>
                <w:sz w:val="22"/>
                <w:szCs w:val="22"/>
                <w:lang w:eastAsia="ar-SA"/>
              </w:rPr>
              <w:t>淮安生物工程高等职业学校</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10,260.08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16.70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368.40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2,080.00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11,355.81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7.50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523.26</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443.88</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368.40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12,708.48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12,715.55</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28.31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21.24</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12,736.79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12,736.79</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淮安生物工程高等职业学校</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12,708.48</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10,628.48</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2,080.00</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17.85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20123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民族事务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17.85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2012304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民族工作专项</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17.85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11,347.36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9,391.03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1,956.33</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教育管理事务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703.69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703.69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703.69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703.69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职业教育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8,734.07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6,777.74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1,956.33</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2050302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中等职业教育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8,533.13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6,576.80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1,956.33</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2050305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高等职业教育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200.94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1,909.60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1,909.60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1,909.60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1,909.60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523.49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399.82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123.67</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农业农村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523.49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399.82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123.67</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2130106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科技转化与推广服务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133.61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9.95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123.67</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2130122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农业生产发展</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389.88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389.88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443.88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443.88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443.88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443.88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443.88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443.88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368.40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368.40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其他政府性基金及对应专项债务收入安排的支出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368.40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368.40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2290402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其他地方自行试点项目收益专项债券收入安排的支出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368.40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368.40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淮安生物工程高等职业学校</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12,715.55</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5,895.49</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6,820.06</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16.70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16.70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20123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民族事务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16.70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16.70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2012304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民族工作专项</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16.70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16.70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11,355.81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5,451.61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5,904.20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703.69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703.69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2050199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其他教育管理事务支出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703.69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703.69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职业教育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8,742.52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5,451.61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3,290.91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2050302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中等职业教育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8,544.81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5,451.61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3,093.20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2050305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高等职业教育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197.71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197.71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1,909.60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1,909.60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1,909.60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1,909.60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农林水支出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523.26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523.26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农业农村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523.26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523.26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2130106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科技转化与推广服务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133.61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133.61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2130122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农业生产发展</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389.64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389.64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443.88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443.88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443.88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443.88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443.88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443.88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368.40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368.40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其他政府性基金及对应专项债务收入安排的支出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368.40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368.40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2290402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其他地方自行试点项目收益专项债券收入安排的支出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368.40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368.40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淮安生物工程高等职业学校</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10,260.08</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368.40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9,399.55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9,399.55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399.59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399.59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368.40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368.40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10,628.48</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10,635.62</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10,267.22</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368.40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28.17</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21.03</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21.03</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28.17</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10,656.65</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10,656.65</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10,288.24</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368.40</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淮安生物工程高等职业学校</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10,635.62</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5,895.49</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4,740.13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民族事务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2012304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民族工作专项</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9,399.55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5,451.61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3,947.94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703.69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703.69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703.69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703.69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职业教育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6,786.26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5,451.61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1,334.65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2050302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中等职业教育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6,588.55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5,451.61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1,136.94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2050305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高等职业教育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197.71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197.71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1,909.60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1,909.60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1,909.60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1,909.60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399.59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399.59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399.59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399.59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科技转化与推广服务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2130122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农业生产发展</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389.64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389.64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368.40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其他政府性基金及对应专项债务收入安排的支出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368.40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2290402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其他地方自行试点项目收益专项债券收入安排的支出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368.40</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淮安生物工程高等职业学校</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5,895.49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5,414.77</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5,137.86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5,137.86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1,519.50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1,519.50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644.82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644.82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1,234.43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1,234.43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374.24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187.12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187.12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46.70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443.88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276.91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171.84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淮安生物工程高等职业学校</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10,267.22</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5,895.49</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4,371.73</w:t>
            </w:r>
          </w:p>
        </w:tc>
      </w:tr>
      <w:tr>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20123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民族事务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2012304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民族工作专项</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9,399.55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5,451.61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3,947.94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教育管理事务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703.69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703.69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6,786.26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5,451.61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1,334.65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2050302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中等职业教育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6,588.55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5,451.61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1,136.94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2050305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高等职业教育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197.71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197.71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1,909.60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1,909.60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1,909.60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1,909.60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399.59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399.59</w:t>
            </w:r>
          </w:p>
        </w:tc>
      </w:tr>
      <w:tr>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399.59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399.59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2130106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科技转化与推广服务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2130122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农业生产发展</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389.64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389.64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443.88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443.88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443.88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443.88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443.88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443.88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淮安生物工程高等职业学校</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5,895.49</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5,414.77</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5,137.86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5,137.86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1,519.50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1,519.50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644.82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644.82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1,234.43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1,234.43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374.24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187.12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187.12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46.70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443.88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480.72</w:t>
            </w: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18.83</w:t>
            </w: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21.57</w:t>
            </w: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276.91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276.91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171.84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淮安生物工程高等职业学校</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20.81</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14.10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14.10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6.71</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7.79</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297.18</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20.81</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14.10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14.10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6.71</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7.79</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297.18</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87</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472</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36</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97</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1,355</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b w:val="0"/>
          <w:bCs w:val="0"/>
          <w:sz w:val="22"/>
          <w:szCs w:val="22"/>
        </w:rPr>
        <w:t>。</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淮安生物工程高等职业学校</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368.40</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368.40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368.40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368.40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22904</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其他政府性基金及对应专项债务收入安排的支出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368.40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368.40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2290402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其他地方自行试点项目收益专项债券收入安排的支出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368.40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368.40</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注：本表反映本年度政府性基金预算财政拨款支出情况。本表金额单位转换时可能存在尾数误差。</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淮安生物工程高等职业学校</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本部门无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淮安生物工程高等职业学校</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lang w:eastAsia="zh-CN"/>
        </w:rPr>
        <w:t>本</w:t>
      </w:r>
      <w:r>
        <w:rPr>
          <w:rFonts w:ascii="仿宋" w:hAnsi="仿宋" w:eastAsia="仿宋" w:cs="仿宋"/>
          <w:sz w:val="22"/>
        </w:rPr>
        <w:t>部门</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淮安生物工程高等职业学校</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1,042.38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1,042.38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政府采购支出信息为单位纳入部门预算范围的各项政府采购支出情况。本表金额单位转换时可能存在尾数误差</w:t>
      </w:r>
      <w:r>
        <w:rPr>
          <w:rFonts w:hint="eastAsia" w:ascii="仿宋" w:hAnsi="仿宋" w:eastAsia="仿宋" w:cs="仿宋"/>
          <w:b w:val="0"/>
          <w:bCs w:val="0"/>
          <w:sz w:val="22"/>
          <w:szCs w:val="22"/>
        </w:rPr>
        <w:t>。</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eastAsia="宋体" w:cs="宋体"/>
          <w:b/>
          <w:color w:val="000000"/>
          <w:sz w:val="36"/>
        </w:rPr>
        <w:t>部门决算情况说明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2022年度收入、支出决算总计12,736.79万元。与上年相比，收、支总计各减少601.28万元，减少4.51%。其中：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（一）收入决算总计12,736.79万元。包括：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1.本年收入决算合计12,708.48万元。与上年相比，增加1,392.48万元，增长12.31%，变动原因：学校人员增加。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2.使用非财政拨款结余0万元。与上年决算数相同。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3.年初结转和结余28.31万元。与上年相比，减少1,993.76万元，减少98.6%，变动原因：2022年实行国库集中支付清算制，结余资金不做收入。</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（二）支出决算总计12,736.79万元。包括：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1.本年支出决算合计12,715.55万元。与上年相比，减少601.22万元，减少4.51%，变动原因：2022年项目完工比2021年少，支出减少。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2.结余分配0万元。与上年决算数相同。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3.年末结转和结余21.24万元。结转和结余事项：项目未完工资金。与上年相比，减少0.06万元，减少0.28%，变动原因：使用了以前年度结余资金。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年收入决算合计12,708.48万元，其中：财政拨款收入10,628.48万元，占83.63%；上级补助收入0万元，占0%；财政专户管理教育收费2,080万元，占16.37%；事业收入（不含专户管理教育收费）0万元，占0%；经营收入0万元，占0%；附属单位上缴收入0万元，占0%；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2022年度本年支出决算合计12,715.55万元，其中：基本支出5,895.49万元，占46.36%；项目支出6,820.06万元，占53.64%；上缴上级支出0万元，占0%；经营支出0万元，占0%；对附属单位补助支出0万元，占0%。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2022年度财政拨款收入、支出决算总计10,656.65万元。与上年相比，收、支总计各减少407.13万元，减少3.68%，变动原因：按照财政要求开源节流。</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2022年度财政拨款支出决算10,635.62万元，占本年支出合计的83.64%。与2022年度财政拨款支出年初预算5,009.67万元相比，完成年初预算的212.3%。其中：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（一）一般公共服务支出（类）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民族事务（款）民族工作专项（项）。年初预算0万元，支出决算16.7万元，（年初预算数为0万元，无法计算完成比率）决算数与年初预算数的差异原因：财政预算资金追加。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（二）教育支出（类）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1.教育管理事务（款）其他教育管理事务支出（项）。年初预算0万元，支出决算703.69万元，（年初预算数为0万元，无法计算完成比率）决算数与年初预算数的差异原因：财政预算资金追加。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2.职业教育（款）中等职业教育（项）。年初预算4,565.79万元，支出决算6,588.55万元，完成年初预算的144.3%。决算数与年初预算数的差异原因：财政预算资金追加。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3.职业教育（款）高等职业教育（项）。年初预算0万元，支出决算197.71万元，（年初预算数为0万元，无法计算完成比率）决算数与年初预算数的差异原因：财政预算资金追加。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4.教育费附加安排的支出（款）其他教育费附加安排的支出（项）。年初预算0万元，支出决算1,909.6万元，（年初预算数为0万元，无法计算完成比率）决算数与年初预算数的差异原因：财政预算资金追加。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（三）科学技术支出（类）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其他科学技术支出（款）其他科学技术支出（项）。年初预算0万元，支出决算7.5万元，（年初预算数为0万元，无法计算完成比率）决算数与年初预算数的差异原因：财政预算资金追加。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（四）农林水支出（类）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1.农业农村（款）科技转化与推广服务（项）。年初预算0万元，支出决算9.95万元，（年初预算数为0万元，无法计算完成比率）决算数与年初预算数的差异原因：财政预算资金追加。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2.农业农村（款）农业生产发展（项）。年初预算0万元，支出决算389.64万元，（年初预算数为0万元，无法计算完成比率）决算数与年初预算数的差异原因：财政预算资金追加。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住房改革支出（款）住房公积金（项）。年初预算443.88万元，支出决算443.88万元，完成年初预算的100%。决算数与年初预算数相同。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（六）其他支出（类）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他政府性基金及对应专项债务收入安排的支出（款）其他地方自行试点项目收益专项债券收入安排的支出（项）。年初预算0万元，支出决算368.4万元，（年初预算数为0万元，无法计算完成比率）决算数与年初预算数的差异原因：财政预算资金追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2022年度财政拨款基本支出决算5,895.49万元，其中：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（一）人员经费5,414.77万元。</w:t>
      </w:r>
      <w:r>
        <w:rPr>
          <w:rFonts w:ascii="仿宋" w:hAnsi="仿宋" w:eastAsia="仿宋" w:cs="仿宋"/>
        </w:rPr>
        <w:t>主要包括：基本工资、津贴补贴、奖金、绩效工资、机关事业单位基本养老保险缴费、职业年金缴费、职工基本医疗保险缴费、其他社会保障缴费、住房公积金、离休费、退休费、生活补助、助学金、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（二）公用经费480.72万元。</w:t>
      </w:r>
      <w:r>
        <w:rPr>
          <w:rFonts w:ascii="仿宋" w:hAnsi="仿宋" w:eastAsia="仿宋" w:cs="仿宋"/>
        </w:rPr>
        <w:t>主要包括：办公费、印刷费、咨询费、手续费、水费、电费、邮电费、差旅费、维修（护）费、会议费、培训费、公务接待费、劳务费、工会经费、福利费、公务用车运行维护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2022年度一般公共预算财政拨款支出决算10,267.22万元。与上年相比，减少775.26万元，减少7.02%，变动原因：按照财政要求厉行节约，压缩开支。</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2022年度一般公共预算财政拨款基本支出决算5,895.49万元，其中：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（一）人员经费5,414.77万元。</w:t>
      </w:r>
      <w:r>
        <w:rPr>
          <w:rFonts w:ascii="仿宋" w:hAnsi="仿宋" w:eastAsia="仿宋" w:cs="仿宋"/>
        </w:rPr>
        <w:t>主要包括：基本工资、津贴补贴、奖金、绩效工资、机关事业单位基本养老保险缴费、职业年金缴费、职工基本医疗保险缴费、其他社会保障缴费、住房公积金、离休费、退休费、生活补助、助学金、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（二）公用经费480.72万元。</w:t>
      </w:r>
      <w:r>
        <w:rPr>
          <w:rFonts w:ascii="仿宋" w:hAnsi="仿宋" w:eastAsia="仿宋" w:cs="仿宋"/>
        </w:rPr>
        <w:t>主要包括：办公费、印刷费、咨询费、手续费、水费、电费、邮电费、差旅费、维修（护）费、会议费、培训费、公务接待费、劳务费、工会经费、福利费、公务用车运行维护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九、财政拨款“三公”经费、会议费和培训费支出情况说明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（一）财政拨款“三公”经费支出总体情况说明。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三公”经费支出决算20.81万元（其中：一般公共预算支出20.81万元；政府性基金预算支出0万元；国有资本经营预算支出0万元）。与上年相比，增加1.92万元，变动原因：2022年项目多，项目相关接待增多。其中，因公出国（境）费支出0万元，占“三公”经费的0%；公务用车购置及运行维护费支出14.1万元，占“三公”经费的67.76%；公务接待费支出6.71万元，占“三公”经费的32.24%。</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（二）财政拨款“三公”经费支出具体情况说明。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支出预算14.1万元（其中：一般公共预算支出14.1万元；政府性基金预算支出0万元；国有资本经营预算支出0万元），支出决算14.1万元（其中：一般公共预算支出14.1万元；政府性基金预算支出0万元；国有资本经营预算支出0万元），完成调整后预算的100%，决算数与预算数相同。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（1）公务用车购置支出决算0万元。本年度使用财政拨款购置公务用车0辆。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支出决算14.1万元。公务用车运行维护费主要用于按规定保留的公务用车的燃料费、维修费、过桥过路费、保险费、安全奖励费用等支出。截至2022年12月31日，使用财政拨款开支的公务用车保有量为5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支出预算6.71万元（其中：一般公共预算支出6.71万元；政府性基金预算支出0万元；国有资本经营预算支出0万元），支出决算6.71万元（其中：一般公共预算支出6.71万元；政府性基金预算支出0万元；国有资本经营预算支出0万元），完成调整后预算的100%，决算数与预算数相同。其中：国内公务接待支出6.71万元，接待87批次，472人次，开支内容：2022年学校举行技能大赛以及项目人员公务接待；国（境）外公务接待支出0万元，接待0批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（三）财政拨款会议费支出决算情况说明。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会议费支出预算7.79万元（其中：一般公共预算支出7.79万元；政府性基金预算支出0万元；国有资本经营预算支出0万元），支出决算7.79万元（其中：一般公共预算支出7.79万元；政府性基金预算支出0万元；国有资本经营预算支出0万元），完成调整后预算的100%，决算数与预算数相同。2022年度全年召开会议36个，参加会议97人次，开支内容：技能大赛前期准备会议、农机考评员会议、学校理事会成立会议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（四）财政拨款培训费支出决算情况说明。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培训费支出预算297.18万元（其中：一般公共预算支出297.18万元；政府性基金预算支出0万元；国有资本经营预算支出0万元），支出决算297.18万元（其中：一般公共预算支出297.18万元；政府性基金预算支出0万元；国有资本经营预算支出0万元），完成调整后预算的100%，决算数与预算数相同。2022年度全年组织培训20个，组织培训1355人次，开支内容：农民培训、教师骨干培训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2022年度政府性基金预算财政拨款支出决算368.4万元。与上年相比，增加368.4万元（上年决算数为0万元，无法计算增减比率），变动原因：体育馆建设实施项目资金。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2022年度国有资本经营预算财政拨款支出决算0万元。与上年决算数相同。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十二、财政拨款机关运行经费支出决算情况说明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2022年度机关运行经费支出决算0万元（其中：一般公共预算支出0万元；政府性基金预算支出0万元；国有资本经营预算支出0万元）。与上年决算数相同。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政府采购支出总额1,042.38万元，其中：政府采购货物支出1,042.38万元、政府采购工程支出0万元、政府采购服务支出0万元。政府采购授予中小企业合同金额0万元，占政府采购支出总额的0%，其中：授予小微企业合同金额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2022年12月31日，本部门共有车辆6辆，其中：副部(省)级及以上领导用车0辆、主要领导干部用车0辆、机要通信用车0辆、应急保障用车0辆、执法执勤用车0辆、特种专业技术用车0辆、离退休干部用车0辆、其他用车6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十五、预算绩效评价工作开展情况</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2022年度，本部门共1个项目开展了财政重点绩效评价，涉及财政性资金合计2,500万元；本部门未开展部门整体支出财政重点绩效评价，涉及财政性资金0万元。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本部门共对上年度已实施完成的10个项目开展了绩效自评价，涉及财政性资金合计7,004万元；本部门共开展1项部门整体支出绩效自评价，涉及财政性资金合计12,013.67万元。</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十九、一般公共服务支出(类)民族事务(款)民族工作专项(项)</w:t>
      </w:r>
      <w:r>
        <w:rPr>
          <w:rFonts w:ascii="仿宋" w:hAnsi="仿宋" w:eastAsia="仿宋" w:cs="仿宋"/>
          <w:b/>
        </w:rPr>
        <w:t>：</w:t>
      </w:r>
      <w:r>
        <w:rPr>
          <w:rFonts w:hint="eastAsia" w:ascii="仿宋" w:hAnsi="仿宋" w:eastAsia="仿宋" w:cs="仿宋"/>
        </w:rPr>
        <w:t>反映用于民族事务管理方面的专项支出。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二十、教育支出(类)教育管理事务(款)其他教育管理事务支出(项)</w:t>
      </w:r>
      <w:r>
        <w:rPr>
          <w:rFonts w:ascii="仿宋" w:hAnsi="仿宋" w:eastAsia="仿宋" w:cs="仿宋"/>
          <w:b/>
        </w:rPr>
        <w:t>：</w:t>
      </w:r>
      <w:r>
        <w:rPr>
          <w:rFonts w:hint="eastAsia" w:ascii="仿宋" w:hAnsi="仿宋" w:eastAsia="仿宋" w:cs="仿宋"/>
        </w:rPr>
        <w:t>反映除上述项目以外其他用于教育管理事务方面的支出。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二十一、教育支出(类)职业教育(款)中等职业教育(项)</w:t>
      </w:r>
      <w:r>
        <w:rPr>
          <w:rFonts w:ascii="仿宋" w:hAnsi="仿宋" w:eastAsia="仿宋" w:cs="仿宋"/>
          <w:b/>
        </w:rPr>
        <w:t>：</w:t>
      </w:r>
      <w:r>
        <w:rPr>
          <w:rFonts w:hint="eastAsia" w:ascii="仿宋" w:hAnsi="仿宋" w:eastAsia="仿宋" w:cs="仿宋"/>
        </w:rPr>
        <w:t>反映各部门（不含人力资源社会保障部门）举办的中等职业教育支出。政府各部门对社会组织等举办的中等职业学校的资助，如捐赠、补贴等，也在本科目中反映。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二十二、教育支出(类)职业教育(款)高等职业教育(项)</w:t>
      </w:r>
      <w:r>
        <w:rPr>
          <w:rFonts w:ascii="仿宋" w:hAnsi="仿宋" w:eastAsia="仿宋" w:cs="仿宋"/>
          <w:b/>
        </w:rPr>
        <w:t>：</w:t>
      </w:r>
      <w:r>
        <w:rPr>
          <w:rFonts w:hint="eastAsia" w:ascii="仿宋" w:hAnsi="仿宋" w:eastAsia="仿宋" w:cs="仿宋"/>
        </w:rPr>
        <w:t>反映各部门举办的本科、专科层次职业教育支出。政府各部门对社会组织等举办的本科、专科层次职业院校的资助，如捐赠、补贴等，也在本科目中反映。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二十三、教育支出(类)教育费附加安排的支出(款)其他教育费附加安排的支出(项)</w:t>
      </w:r>
      <w:r>
        <w:rPr>
          <w:rFonts w:ascii="仿宋" w:hAnsi="仿宋" w:eastAsia="仿宋" w:cs="仿宋"/>
          <w:b/>
        </w:rPr>
        <w:t>：</w:t>
      </w:r>
      <w:r>
        <w:rPr>
          <w:rFonts w:hint="eastAsia" w:ascii="仿宋" w:hAnsi="仿宋" w:eastAsia="仿宋" w:cs="仿宋"/>
        </w:rPr>
        <w:t>反映除上述项目以外的教育费附加支出。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二十四、科学技术支出(类)其他科学技术支出(款)其他科学技术支出(项)</w:t>
      </w:r>
      <w:r>
        <w:rPr>
          <w:rFonts w:ascii="仿宋" w:hAnsi="仿宋" w:eastAsia="仿宋" w:cs="仿宋"/>
          <w:b/>
        </w:rPr>
        <w:t>：</w:t>
      </w:r>
      <w:r>
        <w:rPr>
          <w:rFonts w:hint="eastAsia" w:ascii="仿宋" w:hAnsi="仿宋" w:eastAsia="仿宋" w:cs="仿宋"/>
        </w:rPr>
        <w:t>反映其他科学技术支出中除以上各项外用于科技方面的支出。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二十五、农林水支出(类)农业农村(款)科技转化与推广服务(项)</w:t>
      </w:r>
      <w:r>
        <w:rPr>
          <w:rFonts w:ascii="仿宋" w:hAnsi="仿宋" w:eastAsia="仿宋" w:cs="仿宋"/>
          <w:b/>
        </w:rPr>
        <w:t>：</w:t>
      </w:r>
      <w:r>
        <w:rPr>
          <w:rFonts w:hint="eastAsia" w:ascii="仿宋" w:hAnsi="仿宋" w:eastAsia="仿宋" w:cs="仿宋"/>
        </w:rPr>
        <w:t>反映用于农业科技成果转化，农业新品种、新机具、新技术引进、试验、示范、推广及服务，农村人居环境整治等方面的技术试验示范支出。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二十六、农林水支出(类)农业农村(款)农业生产发展(项)</w:t>
      </w:r>
      <w:r>
        <w:rPr>
          <w:rFonts w:ascii="仿宋" w:hAnsi="仿宋" w:eastAsia="仿宋" w:cs="仿宋"/>
          <w:b/>
        </w:rPr>
        <w:t>：</w:t>
      </w:r>
      <w:r>
        <w:rPr>
          <w:rFonts w:hint="eastAsia" w:ascii="仿宋" w:hAnsi="仿宋" w:eastAsia="仿宋" w:cs="仿宋"/>
        </w:rPr>
        <w:t>反映用于耕地地力保护、适度规模经营、农机购置补贴、优势特色主导产业发展、畜牧水产发展、农村一二三产业融合等方面支出。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二十八、其他支出(类)其他政府性基金及对应专项债务收入安排的支出(款)其他地方自行试点项目收益专项债券收入安排的支出(项)</w:t>
      </w:r>
      <w:r>
        <w:rPr>
          <w:rFonts w:ascii="仿宋" w:hAnsi="仿宋" w:eastAsia="仿宋" w:cs="仿宋"/>
          <w:b/>
        </w:rPr>
        <w:t>：</w:t>
      </w:r>
      <w:r>
        <w:rPr>
          <w:rFonts w:hint="eastAsia" w:ascii="仿宋" w:hAnsi="仿宋" w:eastAsia="仿宋" w:cs="仿宋"/>
        </w:rPr>
        <w:t>其他地方自行试点项目收益专项债券收入安排的支出。</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NBmKszAEAAJ0DAAAOAAAAAAAAAAEAIAAAAB4BAABkcnMvZTJv&#10;RG9jLnhtbFBLBQYAAAAABgAGAFkBAABc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淮安生物工程高等职业学校</w:t>
    </w:r>
    <w:r>
      <w:t>2022年度部门决算公开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CC4B71"/>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2023-09-11T07:16:40Z</dcterms:modified>
  <dc:title>部门决算公开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D40DA665C06F46D3B8B7174EA0A4B8BA</vt:lpwstr>
  </property>
  <property fmtid="{D5CDD505-2E9C-101B-9397-08002B2CF9AE}" pid="5" name="KSOProductBuildVer">
    <vt:lpwstr>2052-11.1.0.11875</vt:lpwstr>
  </property>
  <property fmtid="{D5CDD505-2E9C-101B-9397-08002B2CF9AE}" pid="6" name="LastSaved">
    <vt:filetime>2021-04-15T00:00:00Z</vt:filetime>
  </property>
</Properties>
</file>