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6082" w:type="pct"/>
        <w:tblInd w:w="-987" w:type="dxa"/>
        <w:tblLayout w:type="fixed"/>
        <w:tblCellMar>
          <w:top w:w="0" w:type="dxa"/>
          <w:left w:w="0" w:type="dxa"/>
          <w:bottom w:w="0" w:type="dxa"/>
          <w:right w:w="0" w:type="dxa"/>
        </w:tblCellMar>
      </w:tblPr>
      <w:tblGrid>
        <w:gridCol w:w="884"/>
        <w:gridCol w:w="1041"/>
        <w:gridCol w:w="1799"/>
        <w:gridCol w:w="760"/>
        <w:gridCol w:w="1696"/>
        <w:gridCol w:w="1538"/>
        <w:gridCol w:w="2411"/>
      </w:tblGrid>
      <w:tr>
        <w:tblPrEx>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淮安市部门整体预算绩效目标表</w:t>
            </w:r>
          </w:p>
        </w:tc>
      </w:tr>
      <w:tr>
        <w:tblPrEx>
          <w:tblCellMar>
            <w:top w:w="0" w:type="dxa"/>
            <w:left w:w="0" w:type="dxa"/>
            <w:bottom w:w="0" w:type="dxa"/>
            <w:right w:w="0" w:type="dxa"/>
          </w:tblCellMar>
        </w:tblPrEx>
        <w:trPr>
          <w:trHeight w:val="280" w:hRule="atLeast"/>
        </w:trPr>
        <w:tc>
          <w:tcPr>
            <w:tcW w:w="5000" w:type="pct"/>
            <w:gridSpan w:val="7"/>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2023年度</w:t>
            </w:r>
          </w:p>
        </w:tc>
      </w:tr>
      <w:tr>
        <w:tblPrEx>
          <w:tblCellMar>
            <w:top w:w="0" w:type="dxa"/>
            <w:left w:w="0" w:type="dxa"/>
            <w:bottom w:w="0" w:type="dxa"/>
            <w:right w:w="0" w:type="dxa"/>
          </w:tblCellMar>
        </w:tblPrEx>
        <w:trPr>
          <w:trHeight w:val="28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单位名称</w:t>
            </w:r>
          </w:p>
        </w:tc>
        <w:tc>
          <w:tcPr>
            <w:tcW w:w="404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lang w:bidi="ar"/>
              </w:rPr>
              <w:t>淮安生物工程高等职业学校</w:t>
            </w:r>
          </w:p>
        </w:tc>
      </w:tr>
      <w:tr>
        <w:tblPrEx>
          <w:tblCellMar>
            <w:top w:w="0" w:type="dxa"/>
            <w:left w:w="0" w:type="dxa"/>
            <w:bottom w:w="0" w:type="dxa"/>
            <w:right w:w="0" w:type="dxa"/>
          </w:tblCellMar>
        </w:tblPrEx>
        <w:trPr>
          <w:trHeight w:val="298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主要职能</w:t>
            </w:r>
          </w:p>
        </w:tc>
        <w:tc>
          <w:tcPr>
            <w:tcW w:w="404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公办全日制国家级重点学校，国家职教改革发展示范学校、江苏省高水平示范职业学校、</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江苏省技能型紧缺人才培养培训基地、淮安市赴日本研修生派遣基地，是教育部、人事部、</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科技部、农业部评定的全国教育系统先进集体、全国科技特派员工作先进集体、全国农村</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成人教育先进学校、国家农牧渔业丰收奖获奖单位。</w:t>
            </w:r>
          </w:p>
        </w:tc>
      </w:tr>
      <w:tr>
        <w:tblPrEx>
          <w:tblCellMar>
            <w:top w:w="0" w:type="dxa"/>
            <w:left w:w="0" w:type="dxa"/>
            <w:bottom w:w="0" w:type="dxa"/>
            <w:right w:w="0" w:type="dxa"/>
          </w:tblCellMar>
        </w:tblPrEx>
        <w:trPr>
          <w:trHeight w:val="64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机构设置及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人员配置</w:t>
            </w:r>
          </w:p>
        </w:tc>
        <w:tc>
          <w:tcPr>
            <w:tcW w:w="404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部门内设机构包括：植物工程系、动物工程系、机电工程系、计算机工程系、经济贸易系、汽车工程系和基础课部等六系一部，另设南京农业大学、扬州大学、南京晓庄学院本专科函授站和北京科技大学远程教育学院淮安学习中心。本单位现教职工在职在编232人。</w:t>
            </w:r>
          </w:p>
        </w:tc>
      </w:tr>
      <w:tr>
        <w:tblPrEx>
          <w:tblCellMar>
            <w:top w:w="0" w:type="dxa"/>
            <w:left w:w="0" w:type="dxa"/>
            <w:bottom w:w="0" w:type="dxa"/>
            <w:right w:w="0" w:type="dxa"/>
          </w:tblCellMar>
        </w:tblPrEx>
        <w:trPr>
          <w:trHeight w:val="48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部门整体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资金（万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元）</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收入</w:t>
            </w:r>
          </w:p>
        </w:tc>
        <w:tc>
          <w:tcPr>
            <w:tcW w:w="285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190"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预算数</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285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资金总额</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12257.68</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2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财政拨款</w:t>
            </w:r>
          </w:p>
        </w:tc>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12257.68</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2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一般公共预算资金</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5647.68</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2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w:t>
            </w:r>
          </w:p>
        </w:tc>
        <w:tc>
          <w:tcPr>
            <w:tcW w:w="1190"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2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财政专户管理资金</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6610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285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国有资本金</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285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社保基金</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285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上年结转资金</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2859" w:type="pct"/>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其他资金</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4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支出</w:t>
            </w:r>
          </w:p>
        </w:tc>
        <w:tc>
          <w:tcPr>
            <w:tcW w:w="21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半年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计划执行数</w:t>
            </w:r>
          </w:p>
        </w:tc>
        <w:tc>
          <w:tcPr>
            <w:tcW w:w="1190"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预算数</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21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基本支出</w:t>
            </w:r>
          </w:p>
        </w:tc>
        <w:tc>
          <w:tcPr>
            <w:tcW w:w="759" w:type="pc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2823.84</w:t>
            </w:r>
            <w:bookmarkStart w:id="0" w:name="_GoBack"/>
            <w:bookmarkEnd w:id="0"/>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5647.68</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210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项目支出</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3305</w:t>
            </w:r>
          </w:p>
        </w:tc>
        <w:tc>
          <w:tcPr>
            <w:tcW w:w="1190"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6610</w:t>
            </w:r>
          </w:p>
        </w:tc>
      </w:tr>
      <w:tr>
        <w:tblPrEx>
          <w:tblCellMar>
            <w:top w:w="0" w:type="dxa"/>
            <w:left w:w="0" w:type="dxa"/>
            <w:bottom w:w="0" w:type="dxa"/>
            <w:right w:w="0" w:type="dxa"/>
          </w:tblCellMar>
        </w:tblPrEx>
        <w:trPr>
          <w:trHeight w:val="140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中长期目标</w:t>
            </w:r>
          </w:p>
        </w:tc>
        <w:tc>
          <w:tcPr>
            <w:tcW w:w="404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目标 1：专业建设水平大幅提升</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 xml:space="preserve"> </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目标 2：教学中心地位稳步提升</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 xml:space="preserve"> </w:t>
            </w:r>
          </w:p>
          <w:p>
            <w:pPr>
              <w:widowControl/>
              <w:jc w:val="left"/>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目标 3：师资力量显著提升</w:t>
            </w:r>
            <w:r>
              <w:rPr>
                <w:rFonts w:hint="eastAsia" w:ascii="宋体" w:hAnsi="宋体" w:eastAsia="宋体" w:cs="宋体"/>
                <w:color w:val="000000"/>
                <w:kern w:val="0"/>
                <w:sz w:val="18"/>
                <w:szCs w:val="18"/>
                <w:lang w:bidi="ar"/>
              </w:rPr>
              <w:t>。</w:t>
            </w:r>
          </w:p>
        </w:tc>
      </w:tr>
      <w:tr>
        <w:tblPrEx>
          <w:tblCellMar>
            <w:top w:w="0" w:type="dxa"/>
            <w:left w:w="0" w:type="dxa"/>
            <w:bottom w:w="0" w:type="dxa"/>
            <w:right w:w="0" w:type="dxa"/>
          </w:tblCellMar>
        </w:tblPrEx>
        <w:trPr>
          <w:trHeight w:val="144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年度目标</w:t>
            </w:r>
          </w:p>
        </w:tc>
        <w:tc>
          <w:tcPr>
            <w:tcW w:w="4049"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pPr>
            <w:r>
              <w:rPr>
                <w:rFonts w:hint="eastAsia"/>
              </w:rPr>
              <w:t>目标</w:t>
            </w:r>
            <w:r>
              <w:t>1：加强制度建设，规范学校管理</w:t>
            </w:r>
            <w:r>
              <w:rPr>
                <w:rFonts w:hint="eastAsia"/>
              </w:rPr>
              <w:t>。</w:t>
            </w:r>
          </w:p>
          <w:p>
            <w:pPr>
              <w:widowControl/>
              <w:jc w:val="left"/>
              <w:textAlignment w:val="center"/>
            </w:pPr>
            <w:r>
              <w:t xml:space="preserve">目标 2：注重师德修养，加强德育工作。 </w:t>
            </w:r>
          </w:p>
          <w:p>
            <w:pPr>
              <w:widowControl/>
              <w:jc w:val="left"/>
              <w:textAlignment w:val="center"/>
            </w:pPr>
            <w:r>
              <w:t xml:space="preserve">目标 3：聚焦课堂教学，积极构建有效课堂模式。 </w:t>
            </w:r>
          </w:p>
          <w:p>
            <w:pPr>
              <w:widowControl/>
              <w:jc w:val="left"/>
              <w:textAlignment w:val="center"/>
            </w:pPr>
            <w:r>
              <w:t xml:space="preserve">目标 4：认真抓好校本教研，广泛开展课题研究和社团活动。 </w:t>
            </w:r>
          </w:p>
          <w:p>
            <w:pPr>
              <w:widowControl/>
              <w:jc w:val="left"/>
              <w:textAlignment w:val="center"/>
            </w:pPr>
            <w:r>
              <w:t xml:space="preserve">目标 5：发挥学校特色专业优势，提升学校文化品位，凸显学校特色。 </w:t>
            </w:r>
          </w:p>
          <w:p>
            <w:pPr>
              <w:widowControl/>
              <w:jc w:val="left"/>
              <w:textAlignment w:val="center"/>
            </w:pPr>
            <w:r>
              <w:t xml:space="preserve">目标 6：搞好对外宣传和对外开放工作。 </w:t>
            </w:r>
          </w:p>
          <w:p>
            <w:pPr>
              <w:widowControl/>
              <w:jc w:val="left"/>
              <w:textAlignment w:val="center"/>
              <w:rPr>
                <w:rFonts w:ascii="宋体" w:hAnsi="宋体" w:eastAsia="宋体" w:cs="宋体"/>
                <w:color w:val="000000"/>
                <w:sz w:val="18"/>
                <w:szCs w:val="18"/>
              </w:rPr>
            </w:pPr>
            <w:r>
              <w:t>目标 7：认真做好其他工作，实现学校和谐发展。</w:t>
            </w:r>
          </w:p>
        </w:tc>
      </w:tr>
      <w:tr>
        <w:tblPrEx>
          <w:tblCellMar>
            <w:top w:w="0" w:type="dxa"/>
            <w:left w:w="0" w:type="dxa"/>
            <w:bottom w:w="0" w:type="dxa"/>
            <w:right w:w="0" w:type="dxa"/>
          </w:tblCellMar>
        </w:tblPrEx>
        <w:trPr>
          <w:trHeight w:val="2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77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半年指标值</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全年指标值</w:t>
            </w:r>
          </w:p>
        </w:tc>
      </w:tr>
      <w:tr>
        <w:tblPrEx>
          <w:tblCellMar>
            <w:top w:w="0" w:type="dxa"/>
            <w:left w:w="0" w:type="dxa"/>
            <w:bottom w:w="0" w:type="dxa"/>
            <w:right w:w="0" w:type="dxa"/>
          </w:tblCellMar>
        </w:tblPrEx>
        <w:trPr>
          <w:trHeight w:val="28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决策</w:t>
            </w: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计划制定</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工作计划制定健全性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中长期规划制定健全性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目标设定</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绩效指标明确性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明确</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明确</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绩效目标合理性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合理</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合理</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预算编制</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预算编制规范性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预算编制科学性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科学</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科学</w:t>
            </w:r>
          </w:p>
        </w:tc>
      </w:tr>
      <w:tr>
        <w:tblPrEx>
          <w:tblCellMar>
            <w:top w:w="0" w:type="dxa"/>
            <w:left w:w="0" w:type="dxa"/>
            <w:bottom w:w="0" w:type="dxa"/>
            <w:right w:w="0" w:type="dxa"/>
          </w:tblCellMar>
        </w:tblPrEx>
        <w:trPr>
          <w:trHeight w:val="28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过程</w:t>
            </w: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预算执行</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非税收入预算完成率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政府采购执行率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“三公经费”变动率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公用经费控制率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结转结余率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预算执行率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预算调整率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支付进度符合率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预算管理</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预算管理制度健全性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非税收入管理合规性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合规</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合规</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预决算信息公开度</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基础信息完善性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完善</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完善</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绩效管理覆盖率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资金使用合规性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合规</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合规</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资产管理</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资产管理规范性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固定资产利用率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资产管理制度健全性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r>
      <w:tr>
        <w:tblPrEx>
          <w:tblCellMar>
            <w:top w:w="0" w:type="dxa"/>
            <w:left w:w="0" w:type="dxa"/>
            <w:bottom w:w="0" w:type="dxa"/>
            <w:right w:w="0" w:type="dxa"/>
          </w:tblCellMar>
        </w:tblPrEx>
        <w:trPr>
          <w:trHeight w:val="4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项目管理</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项目管理制度执行规范性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规范</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项目管理制度健全性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r>
      <w:tr>
        <w:tblPrEx>
          <w:tblCellMar>
            <w:top w:w="0" w:type="dxa"/>
            <w:left w:w="0" w:type="dxa"/>
            <w:bottom w:w="0" w:type="dxa"/>
            <w:right w:w="0" w:type="dxa"/>
          </w:tblCellMar>
        </w:tblPrEx>
        <w:trPr>
          <w:trHeight w:val="4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人员管理</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人员管理制度执行有效性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有效</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有效</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在职人员控制率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人员管理制度健全性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r>
      <w:tr>
        <w:tblPrEx>
          <w:tblCellMar>
            <w:top w:w="0" w:type="dxa"/>
            <w:left w:w="0" w:type="dxa"/>
            <w:bottom w:w="0" w:type="dxa"/>
            <w:right w:w="0" w:type="dxa"/>
          </w:tblCellMar>
        </w:tblPrEx>
        <w:trPr>
          <w:trHeight w:val="4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机构建设</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业务学习与培训及时完成率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纪检监察工作有效性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有效</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有效</w:t>
            </w:r>
          </w:p>
        </w:tc>
      </w:tr>
      <w:tr>
        <w:tblPrEx>
          <w:tblCellMar>
            <w:top w:w="0" w:type="dxa"/>
            <w:left w:w="0" w:type="dxa"/>
            <w:bottom w:w="0" w:type="dxa"/>
            <w:right w:w="0" w:type="dxa"/>
          </w:tblCellMar>
        </w:tblPrEx>
        <w:trPr>
          <w:trHeight w:val="4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组织建设工作及时完成率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2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88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重点工作</w:t>
            </w:r>
          </w:p>
        </w:tc>
        <w:tc>
          <w:tcPr>
            <w:tcW w:w="375"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对应项目</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半年指标值</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全年指标值</w:t>
            </w:r>
          </w:p>
        </w:tc>
      </w:tr>
      <w:tr>
        <w:tblPrEx>
          <w:tblCellMar>
            <w:top w:w="0" w:type="dxa"/>
            <w:left w:w="0" w:type="dxa"/>
            <w:bottom w:w="0" w:type="dxa"/>
            <w:right w:w="0" w:type="dxa"/>
          </w:tblCellMar>
        </w:tblPrEx>
        <w:trPr>
          <w:trHeight w:val="90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履职</w:t>
            </w:r>
          </w:p>
        </w:tc>
        <w:tc>
          <w:tcPr>
            <w:tcW w:w="513" w:type="pct"/>
            <w:vMerge w:val="restart"/>
            <w:tcBorders>
              <w:top w:val="single" w:color="000000" w:sz="4" w:space="0"/>
              <w:left w:val="single" w:color="000000" w:sz="4" w:space="0"/>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新型农业经营主体经营者、返乡下乡创新创业者、专业种养加能手；提高学校知名度，补齐双师</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人才</w:t>
            </w:r>
          </w:p>
        </w:tc>
        <w:tc>
          <w:tcPr>
            <w:tcW w:w="888" w:type="pct"/>
            <w:vMerge w:val="restart"/>
            <w:tcBorders>
              <w:top w:val="single" w:color="000000" w:sz="4" w:space="0"/>
              <w:left w:val="single" w:color="000000" w:sz="4" w:space="0"/>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在编制预算时严格遵守预算编审管理制度，对学校的收支进行科学的分析，首先确保人员经费支出，对人员经费做到与人社部门审批一致，做好人员增减相对的经费变动，确保人员经费准确无误；其次根据学校实际支出需要，结合学生收费收入及财政补助收入的盘子，在项目支出中，先保必需项目，再有空余的情况下，对校园建设发展再做安排。在编制过程中坚持以服务为宗旨，实际为导向，尽全力做好这项工作。</w:t>
            </w:r>
          </w:p>
        </w:tc>
        <w:tc>
          <w:tcPr>
            <w:tcW w:w="375" w:type="pct"/>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创新创业、高质</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量发展经</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费,外聘老师及科</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研,省农牧学校运</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动会费用部级农民</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教育培训、农技员及退役士兵培训,创新创业、高质量发展经费,招生就业经费,校企合作产教融合</w:t>
            </w:r>
          </w:p>
        </w:tc>
        <w:tc>
          <w:tcPr>
            <w:tcW w:w="837" w:type="pc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学生培养培训完成率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CellMar>
            <w:top w:w="0" w:type="dxa"/>
            <w:left w:w="0" w:type="dxa"/>
            <w:bottom w:w="0" w:type="dxa"/>
            <w:right w:w="0" w:type="dxa"/>
          </w:tblCellMar>
        </w:tblPrEx>
        <w:trPr>
          <w:trHeight w:val="150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nil"/>
              <w:right w:val="nil"/>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88" w:type="pct"/>
            <w:vMerge w:val="continue"/>
            <w:tcBorders>
              <w:top w:val="single" w:color="000000" w:sz="4" w:space="0"/>
              <w:left w:val="single" w:color="000000" w:sz="4" w:space="0"/>
              <w:bottom w:val="nil"/>
              <w:right w:val="nil"/>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375"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nil"/>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经费支出合理性</w:t>
            </w:r>
          </w:p>
        </w:tc>
        <w:tc>
          <w:tcPr>
            <w:tcW w:w="759"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合理</w:t>
            </w:r>
          </w:p>
        </w:tc>
        <w:tc>
          <w:tcPr>
            <w:tcW w:w="1190"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合理</w:t>
            </w:r>
          </w:p>
        </w:tc>
      </w:tr>
      <w:tr>
        <w:tblPrEx>
          <w:tblCellMar>
            <w:top w:w="0" w:type="dxa"/>
            <w:left w:w="0" w:type="dxa"/>
            <w:bottom w:w="0" w:type="dxa"/>
            <w:right w:w="0" w:type="dxa"/>
          </w:tblCellMar>
        </w:tblPrEx>
        <w:trPr>
          <w:trHeight w:val="176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513" w:type="pct"/>
            <w:vMerge w:val="continue"/>
            <w:tcBorders>
              <w:top w:val="single" w:color="000000" w:sz="4" w:space="0"/>
              <w:left w:val="single" w:color="000000" w:sz="4" w:space="0"/>
              <w:bottom w:val="nil"/>
              <w:right w:val="nil"/>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88" w:type="pct"/>
            <w:vMerge w:val="continue"/>
            <w:tcBorders>
              <w:top w:val="single" w:color="000000" w:sz="4" w:space="0"/>
              <w:left w:val="single" w:color="000000" w:sz="4" w:space="0"/>
              <w:bottom w:val="nil"/>
              <w:right w:val="nil"/>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375"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837" w:type="pc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工作完成及时性</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及时</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及时</w:t>
            </w:r>
          </w:p>
        </w:tc>
      </w:tr>
      <w:tr>
        <w:tblPrEx>
          <w:tblCellMar>
            <w:top w:w="0" w:type="dxa"/>
            <w:left w:w="0" w:type="dxa"/>
            <w:bottom w:w="0" w:type="dxa"/>
            <w:right w:w="0" w:type="dxa"/>
          </w:tblCellMar>
        </w:tblPrEx>
        <w:trPr>
          <w:trHeight w:val="280" w:hRule="atLeast"/>
        </w:trPr>
        <w:tc>
          <w:tcPr>
            <w:tcW w:w="436" w:type="pct"/>
            <w:tcBorders>
              <w:top w:val="single" w:color="000000" w:sz="4" w:space="0"/>
              <w:left w:val="single" w:color="000000" w:sz="4" w:space="0"/>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1777" w:type="pct"/>
            <w:gridSpan w:val="3"/>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837"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759"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半年指标值</w:t>
            </w:r>
          </w:p>
        </w:tc>
        <w:tc>
          <w:tcPr>
            <w:tcW w:w="1190"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全年指标值</w:t>
            </w:r>
          </w:p>
        </w:tc>
      </w:tr>
      <w:tr>
        <w:tblPrEx>
          <w:tblCellMar>
            <w:top w:w="0" w:type="dxa"/>
            <w:left w:w="0" w:type="dxa"/>
            <w:bottom w:w="0" w:type="dxa"/>
            <w:right w:w="0" w:type="dxa"/>
          </w:tblCellMar>
        </w:tblPrEx>
        <w:trPr>
          <w:trHeight w:val="28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效益</w:t>
            </w:r>
          </w:p>
        </w:tc>
        <w:tc>
          <w:tcPr>
            <w:tcW w:w="177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社会效益</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对事业发展的可持续影响能力提升</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提升</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提升</w:t>
            </w:r>
          </w:p>
        </w:tc>
      </w:tr>
      <w:tr>
        <w:tblPrEx>
          <w:tblCellMar>
            <w:top w:w="0" w:type="dxa"/>
            <w:left w:w="0" w:type="dxa"/>
            <w:bottom w:w="0" w:type="dxa"/>
            <w:right w:w="0"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eastAsia="宋体" w:cs="宋体"/>
                <w:color w:val="000000"/>
                <w:sz w:val="18"/>
                <w:szCs w:val="18"/>
              </w:rPr>
            </w:pPr>
          </w:p>
        </w:tc>
        <w:tc>
          <w:tcPr>
            <w:tcW w:w="177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可持续发展</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项目长效管理机制</w:t>
            </w:r>
          </w:p>
        </w:tc>
        <w:tc>
          <w:tcPr>
            <w:tcW w:w="759" w:type="pc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c>
          <w:tcPr>
            <w:tcW w:w="119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健全</w:t>
            </w:r>
          </w:p>
        </w:tc>
      </w:tr>
      <w:tr>
        <w:tblPrEx>
          <w:tblCellMar>
            <w:top w:w="0" w:type="dxa"/>
            <w:left w:w="0" w:type="dxa"/>
            <w:bottom w:w="0" w:type="dxa"/>
            <w:right w:w="0" w:type="dxa"/>
          </w:tblCellMar>
        </w:tblPrEx>
        <w:trPr>
          <w:trHeight w:val="280" w:hRule="atLeast"/>
        </w:trPr>
        <w:tc>
          <w:tcPr>
            <w:tcW w:w="436" w:type="pct"/>
            <w:tcBorders>
              <w:top w:val="nil"/>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满意度</w:t>
            </w:r>
          </w:p>
        </w:tc>
        <w:tc>
          <w:tcPr>
            <w:tcW w:w="1777" w:type="pct"/>
            <w:gridSpan w:val="3"/>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服务单位满意度</w:t>
            </w:r>
          </w:p>
        </w:tc>
        <w:tc>
          <w:tcPr>
            <w:tcW w:w="759" w:type="pc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1190" w:type="pc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MjdlMGZhZTE1YjMzOTk2MTg2MGM0MTJlYzBkYzMifQ=="/>
  </w:docVars>
  <w:rsids>
    <w:rsidRoot w:val="00076EEA"/>
    <w:rsid w:val="00076EEA"/>
    <w:rsid w:val="00151DD4"/>
    <w:rsid w:val="001C665B"/>
    <w:rsid w:val="003B2B94"/>
    <w:rsid w:val="00615368"/>
    <w:rsid w:val="00687DCB"/>
    <w:rsid w:val="009455C3"/>
    <w:rsid w:val="00CA0EFF"/>
    <w:rsid w:val="00F572E6"/>
    <w:rsid w:val="31321B5F"/>
    <w:rsid w:val="348B6D72"/>
    <w:rsid w:val="70977930"/>
    <w:rsid w:val="7CD71B41"/>
    <w:rsid w:val="7F22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1509</Words>
  <Characters>1631</Characters>
  <Lines>14</Lines>
  <Paragraphs>4</Paragraphs>
  <TotalTime>1</TotalTime>
  <ScaleCrop>false</ScaleCrop>
  <LinksUpToDate>false</LinksUpToDate>
  <CharactersWithSpaces>1647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2023-02-13T06:42:00Z</dcterms:created>
  <dc:creator>Administrator</dc:creator>
  <cp:lastModifiedBy>Administrator</cp:lastModifiedBy>
  <dcterms:modified xsi:type="dcterms:W3CDTF">2023-02-15T01:19:28Z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B5AC151A11394D7C8C7095DE700CED98</vt:lpwstr>
  </property>
</Properties>
</file>